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40"/>
        <w:tblW w:w="1577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55"/>
        <w:gridCol w:w="545"/>
        <w:gridCol w:w="652"/>
        <w:gridCol w:w="3483"/>
        <w:gridCol w:w="3481"/>
        <w:gridCol w:w="1097"/>
        <w:gridCol w:w="956"/>
        <w:gridCol w:w="512"/>
        <w:gridCol w:w="528"/>
        <w:gridCol w:w="1097"/>
        <w:gridCol w:w="876"/>
        <w:gridCol w:w="1097"/>
      </w:tblGrid>
      <w:tr w:rsidR="00854187" w:rsidRPr="00854187" w:rsidTr="00854187">
        <w:trPr>
          <w:trHeight w:val="27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National Mission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Ref: SDP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541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Estyn</w:t>
            </w:r>
            <w:proofErr w:type="spellEnd"/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Planned Activity </w:t>
            </w:r>
            <w:r w:rsidRPr="008541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br/>
              <w:t>(what are you going to do?)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Success Criteria / Targets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Funding Source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PDG -Sutton Toolkit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Spend Type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Planned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Spend Type</w:t>
            </w:r>
          </w:p>
        </w:tc>
      </w:tr>
      <w:tr w:rsidR="00854187" w:rsidRPr="00854187" w:rsidTr="00854187">
        <w:trPr>
          <w:trHeight w:val="25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Strand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Imp M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KS3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Cost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854187" w:rsidRPr="00854187" w:rsidTr="00854187">
        <w:trPr>
          <w:trHeight w:val="16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4187" w:rsidRPr="00854187" w:rsidTr="00854187">
        <w:trPr>
          <w:trHeight w:val="31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Transformational Curriculum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16) Engagement with professional standards for teaching and learning programme.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•Headteacher and Deputy Headteacher access ETLF programme and support development of all staff using the new standards and further develop SER processes using ETLF tools.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•SLT and Middle Leaders access ETLF programme to support the development of the Professional Teaching and Leadership Standards (PTLS).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•Lead development of using PTLS in professional learning and self-evaluation.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•Class teachers access Professional Learning to support development against the PTLS.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School Revenue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650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</w:t>
            </w:r>
          </w:p>
        </w:tc>
      </w:tr>
      <w:tr w:rsidR="00854187" w:rsidRPr="00854187" w:rsidTr="00854187">
        <w:trPr>
          <w:trHeight w:val="292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Transformational Curriculum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1) Access leadership programme to support Headship development, Aspiring Headteacher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•Headteacher invests in personal development linked to relevant career pathway with 2 leaders attending the Church Schools Leadership Programme.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 xml:space="preserve">•Headteacher development against the new Professional Teaching and Leadership Standards (PTLS) 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•Performance Management reflects development against new PTLS.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 xml:space="preserve">•Governors will be knowledgeable about the curriculum reform agenda and how the school will need to address this through the SDP.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School Revenue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300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Release Cover</w:t>
            </w:r>
          </w:p>
        </w:tc>
      </w:tr>
      <w:tr w:rsidR="00854187" w:rsidRPr="00854187" w:rsidTr="00854187">
        <w:trPr>
          <w:trHeight w:val="157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High quality education profession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6) Access leadership programme to support senior leadership development.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•Senior leaders access leadership development relevant to their role and responsibilities to support strategic leadership of the school.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•Senior Leaders within school/cluster all identify PL needs against PTLS.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School Revenue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150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Release Cover</w:t>
            </w:r>
          </w:p>
        </w:tc>
      </w:tr>
      <w:tr w:rsidR="00854187" w:rsidRPr="00854187" w:rsidTr="00854187">
        <w:trPr>
          <w:trHeight w:val="157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High quality education profession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5) Access leadership programme to support middle leadership core development.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•Middle leaders access leadership development relevant to their role and responsibilities to support strategic leadership of the school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•Middle Leaders within school/cluster all identify PL needs against PTLS.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School Revenue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Release Cover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400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Release Cover</w:t>
            </w:r>
          </w:p>
        </w:tc>
      </w:tr>
      <w:tr w:rsidR="00854187" w:rsidRPr="00854187" w:rsidTr="00854187">
        <w:trPr>
          <w:trHeight w:val="40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High quality education profession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12) Attend regional SLO workshops to support the understanding of the framework.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•All staff aware of the research and approach to Schools as Learning Organisations (SLO).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•All staff contribute to the SLO snapshot evaluation of the school.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•The school generate a snapshot in spring term 19.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 xml:space="preserve">•Leaders use the outcome of the SLO snapshot to inform self-evaluation activity and the next iteration of the SDP for 2019/2020. The school will invest in materials to support SLO and PL </w:t>
            </w:r>
            <w:proofErr w:type="spellStart"/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i.e</w:t>
            </w:r>
            <w:proofErr w:type="spellEnd"/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books. Staff to share findings and disseminate in staff meetings. Create a bank of materials which all staff can access.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Work with cluster to compare results and develop a plan where time is given to each school to support each other in areas of weakness/strength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School Revenue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Release Cover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400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Resources</w:t>
            </w:r>
          </w:p>
        </w:tc>
      </w:tr>
      <w:tr w:rsidR="00854187" w:rsidRPr="00854187" w:rsidTr="00854187">
        <w:trPr>
          <w:trHeight w:val="112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Leaders working collaboratively to raise standards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21) Improving teaching and learning: Access regional PL programmes; The Excellent Teacher Programme, OLEVI etc.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•Improved quality of teaching and learning for individually identified teachers. Peer observations/learning walks and triad work and team teaching to raise standards and share good practice across the school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School Revenue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450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</w:t>
            </w:r>
          </w:p>
        </w:tc>
      </w:tr>
      <w:tr w:rsidR="00854187" w:rsidRPr="00854187" w:rsidTr="00854187">
        <w:trPr>
          <w:trHeight w:val="427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High quality education profession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8) Access the regional Curriculum Reform programme days 1-4 and  disseminate back at school/cluster.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•PL lead successfully disseminates days 1-4 to whole school community and develops a greater understanding of the requirements of curriculum reform.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•Every practitioner has the opportunity to reflect on the National Curriculum reform programme (days 1-4) to support their critical understand of the changes to the curriculum model.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•PL leads successfully implements the schools/cluster individual action plan for curriculum reform.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•Staff become better prepared for the realisation of curriculum for Wales.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•Learners become better prepared for the realisation of curriculum for Wales.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•Governors become better prepared for the realisation of curriculum for Wales.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School Revenue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Release Cover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400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</w:t>
            </w:r>
          </w:p>
        </w:tc>
      </w:tr>
      <w:tr w:rsidR="00854187" w:rsidRPr="00854187" w:rsidTr="00854187">
        <w:trPr>
          <w:trHeight w:val="112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Assessment, evaluation and accountability supporting a self-improving system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9) Accessing regional Research and Enquiry Sessions e.g. Critical Collaboration and Professional Enquiry (CCPE) with University of Stirling, Development of research and enquiry in school etc.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•Practitioners are engaged purposefully with research and enquiry. 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 xml:space="preserve">•Professional enquiry impact positively on provision and pupil progress.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PL for Teachers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Release Cover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1,000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Resources</w:t>
            </w:r>
          </w:p>
        </w:tc>
      </w:tr>
      <w:tr w:rsidR="00854187" w:rsidRPr="00854187" w:rsidTr="00854187">
        <w:trPr>
          <w:trHeight w:val="292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Excellence, Equity and Wellbeing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32) The Wellbeing Lead will attend regional workshops to support the ACE developments.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•School improvement results in leadership, teaching, learning in participant / school in area of identified need.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 xml:space="preserve">•The cluster has a </w:t>
            </w:r>
            <w:proofErr w:type="spellStart"/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well defined</w:t>
            </w:r>
            <w:proofErr w:type="spellEnd"/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and understood strategy for Wellbeing that is implemented and reviewed for impact on a regular basis. 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 xml:space="preserve">•The progress of vulnerable learners is tracked effectively, and individual leaners make increased rates of progress from their starting points. 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•Attendance / Exclusions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School Revenue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Release Cover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</w:t>
            </w:r>
          </w:p>
        </w:tc>
      </w:tr>
      <w:tr w:rsidR="00854187" w:rsidRPr="00854187" w:rsidTr="00854187">
        <w:trPr>
          <w:trHeight w:val="22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Excellence, Equity and Wellbeing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29) The school will identify the most appropriate member of staff to attend the regional PDG workshops.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•PDG allocation is based upon evidence of impact.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 xml:space="preserve">•The progress of vulnerable learners is tracked effectively, and individual leaners make increased rates of progress from their starting points. 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 xml:space="preserve">•The interim impact of the PDG indicates at least ‘satisfactory’ impact on the progress of learners.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School Revenue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100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</w:t>
            </w:r>
          </w:p>
        </w:tc>
      </w:tr>
      <w:tr w:rsidR="00854187" w:rsidRPr="00854187" w:rsidTr="00854187">
        <w:trPr>
          <w:trHeight w:val="49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Excellence, Equity and Wellbeing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28) The school will begin the work on the cluster </w:t>
            </w:r>
            <w:proofErr w:type="gramStart"/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More Able</w:t>
            </w:r>
            <w:proofErr w:type="gramEnd"/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developments.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•The aspirations for MA learners across the cluster will increase. 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•There will be a common understanding of the criteria and provision for MA learners.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 xml:space="preserve">•Individual Pupil tracking indicate strong value added outcomes. 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 xml:space="preserve">•A link cluster representative will be identified. 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•Learners will be identified from the school MA register who will engage in school and cluster activities.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•The school will assist in designing and implementing ‘Master Classes’ and More Able related events and activities within the cluster for identified More Able learners.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•Collate learner voice feedback following attendance and participation in events and masterclasses.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 xml:space="preserve">•Complete an end of financial year FADE evaluating activities and events (this will be made into a More Able playlist and shared on the Regional Hub).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PL for Teachers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1,000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</w:t>
            </w:r>
          </w:p>
        </w:tc>
      </w:tr>
      <w:tr w:rsidR="00854187" w:rsidRPr="00854187" w:rsidTr="00854187">
        <w:trPr>
          <w:trHeight w:val="13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Assessment, evaluation and accountability supporting a self-improving system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school will coach, train and upskill TA's to deliver the new curriculum and strategies to develop independent lear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ners through quality support of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identified groups of learners to ensure they make the maximum progress. 4 full time staff in total.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All TA's to attend staff meetings to discuss pedagogy. TA's to observe good quality teaching and learning across the school. TAs to have PM targets based upon feedback and met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acognition</w:t>
            </w:r>
            <w:bookmarkStart w:id="0" w:name="_GoBack"/>
            <w:bookmarkEnd w:id="0"/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.TA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’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 to observe each other and share good practice.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EIG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Meta-cognition and self-regulation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73,622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854187" w:rsidRPr="00854187" w:rsidTr="00854187">
        <w:trPr>
          <w:trHeight w:val="13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Excellence, Equity and Wellbeing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 develop and support staff to work with vulnerable groups to raise attainment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, attendance and well-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being so that they can attain academically, by deve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loping a school culture of self-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regulation, reflection and quality feedback. 3 part time staff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TAs to have targets based upon their work with these groups. TA's to track and monitor prog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ess of the groups. Reading and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research to be focused on self-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regulation, metacognition and quality feedback.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PDG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Meta-cognition and self-regulation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19,550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854187" w:rsidRPr="00854187" w:rsidTr="00854187">
        <w:trPr>
          <w:trHeight w:val="9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Excellence, Equity and Wellbeing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 invest in staff to meet the needs of pupils who need support to access the curriculum. Use coaching and triage work to develop quality feedback.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Time given for reading and research. PL Lead to work with TA's to upskill and inform. TA Lesson observation to focus on feedback.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EYPDG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Feedback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8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5,000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Release Cover</w:t>
            </w:r>
          </w:p>
        </w:tc>
      </w:tr>
      <w:tr w:rsidR="00854187" w:rsidRPr="00854187" w:rsidTr="00854187">
        <w:trPr>
          <w:trHeight w:val="112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Excellence, Equity and Wellbeing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Daily focus on Literacy and numeracy for identified individuals each half term - additional TA employed to work with Y3.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 raise attainment in reading and basic number skills appropriate to age and ability for 9 SEN, EAL and FSM Pupils in Y3.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Recruit, Recover, Raise Standards (ALP)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One-to-one tuition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5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Grant Funded Post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7,667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Grant Funded Post</w:t>
            </w:r>
          </w:p>
        </w:tc>
      </w:tr>
      <w:tr w:rsidR="00854187" w:rsidRPr="00854187" w:rsidTr="00854187">
        <w:trPr>
          <w:trHeight w:val="67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Excellence, Equity and Wellbeing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Daily focus on Literacy and numeracy for identified individuals each half term - additional TA employed to work with Y1, 2,4,5 &amp; 6.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 raise attainment in reading and basic number skills appropriate to age and ability for 15 SEN, EAL and FSM Pupils in y1,2,4,5 &amp; 6.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PDG Growth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One-to-one tuition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5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Grant Funded Post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4,577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Grant Funded Post</w:t>
            </w:r>
          </w:p>
        </w:tc>
      </w:tr>
      <w:tr w:rsidR="00854187" w:rsidRPr="00854187" w:rsidTr="00854187">
        <w:trPr>
          <w:trHeight w:val="27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Transformational Curriculum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IA5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10 release days over the </w:t>
            </w:r>
            <w:proofErr w:type="spellStart"/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Aut</w:t>
            </w:r>
            <w:proofErr w:type="spellEnd"/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Spr</w:t>
            </w:r>
            <w:proofErr w:type="spellEnd"/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Terms to develop materials and keep up to date with new messages regarding new curriculum and plan ways to trial/disseminate/model Curriculum 2022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 work with the HT to design the curriculum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 xml:space="preserve">To support staff as they introduce and get used to 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the new curriculu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To meet as AOLE teams regula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 and devise action plans for strategi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guides to move each of the AOLE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's forward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To finalise a blende learning approach and she with all stakeholders.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to promote and prov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ide materia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to continue to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develop action research and PL</w:t>
            </w: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opportunities across the school.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Professional Learning Lead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Release Cover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541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2,500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87" w:rsidRPr="00854187" w:rsidRDefault="00854187" w:rsidP="0085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23505C" w:rsidRDefault="0023505C"/>
    <w:sectPr w:rsidR="0023505C" w:rsidSect="008541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87"/>
    <w:rsid w:val="0023505C"/>
    <w:rsid w:val="0085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7600"/>
  <w15:chartTrackingRefBased/>
  <w15:docId w15:val="{63D562CC-6AB1-4AAF-8009-F9492D8E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9A1F62CD</Template>
  <TotalTime>4</TotalTime>
  <Pages>5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Beckett</dc:creator>
  <cp:keywords/>
  <dc:description/>
  <cp:lastModifiedBy>Jane Beckett</cp:lastModifiedBy>
  <cp:revision>1</cp:revision>
  <dcterms:created xsi:type="dcterms:W3CDTF">2020-10-20T07:00:00Z</dcterms:created>
  <dcterms:modified xsi:type="dcterms:W3CDTF">2020-10-20T07:04:00Z</dcterms:modified>
</cp:coreProperties>
</file>