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88" w:type="dxa"/>
        <w:tblLook w:val="04A0" w:firstRow="1" w:lastRow="0" w:firstColumn="1" w:lastColumn="0" w:noHBand="0" w:noVBand="1"/>
      </w:tblPr>
      <w:tblGrid>
        <w:gridCol w:w="1129"/>
        <w:gridCol w:w="3890"/>
        <w:gridCol w:w="6556"/>
        <w:gridCol w:w="1163"/>
        <w:gridCol w:w="1150"/>
      </w:tblGrid>
      <w:tr w:rsidR="0074634A" w:rsidRPr="008125CA" w:rsidTr="001C0B7E">
        <w:trPr>
          <w:trHeight w:val="6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8125CA" w:rsidRPr="008125CA" w:rsidRDefault="0008239B" w:rsidP="008125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SDP Priority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8125CA" w:rsidRPr="008125CA" w:rsidRDefault="008125CA" w:rsidP="008125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8125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Planned activities</w:t>
            </w:r>
          </w:p>
        </w:tc>
        <w:tc>
          <w:tcPr>
            <w:tcW w:w="6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8125CA" w:rsidRPr="008125CA" w:rsidRDefault="008125CA" w:rsidP="008125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8125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Success Criteria/ targets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8125CA" w:rsidRPr="008125CA" w:rsidRDefault="008125CA" w:rsidP="00812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8125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Funding Source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8125CA" w:rsidRPr="008125CA" w:rsidRDefault="008125CA" w:rsidP="00812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:rsidR="008125CA" w:rsidRPr="008125CA" w:rsidRDefault="008125CA" w:rsidP="00812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8125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Planned Cost</w:t>
            </w:r>
          </w:p>
        </w:tc>
      </w:tr>
      <w:tr w:rsidR="0074634A" w:rsidRPr="001C0B7E" w:rsidTr="001C0B7E">
        <w:trPr>
          <w:trHeight w:val="19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CA" w:rsidRPr="00391D27" w:rsidRDefault="00F430F4" w:rsidP="008125CA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CA" w:rsidRPr="001C0B7E" w:rsidRDefault="000C51BC" w:rsidP="008125C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0C51BC">
              <w:rPr>
                <w:rFonts w:cstheme="minorHAnsi"/>
                <w:color w:val="000000"/>
              </w:rPr>
              <w:t xml:space="preserve">The school will coach, train and upskill TA's to deliver the curriculum and strategies to develop independent learners through quality support </w:t>
            </w:r>
            <w:r w:rsidR="00975D03" w:rsidRPr="000C51BC">
              <w:rPr>
                <w:rFonts w:cstheme="minorHAnsi"/>
                <w:color w:val="000000"/>
              </w:rPr>
              <w:t>of identified</w:t>
            </w:r>
            <w:r w:rsidRPr="000C51BC">
              <w:rPr>
                <w:rFonts w:cstheme="minorHAnsi"/>
                <w:color w:val="000000"/>
              </w:rPr>
              <w:t xml:space="preserve"> groups of learners to ensure they make the maximum progress. </w:t>
            </w:r>
          </w:p>
        </w:tc>
        <w:tc>
          <w:tcPr>
            <w:tcW w:w="6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BC" w:rsidRPr="00391D27" w:rsidRDefault="000C51BC" w:rsidP="00391D27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1D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TA's to attend staff meetings to discuss pedagogy. </w:t>
            </w:r>
          </w:p>
          <w:p w:rsidR="000C51BC" w:rsidRPr="00391D27" w:rsidRDefault="000C51BC" w:rsidP="00391D27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1D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TA's to observe good quality teaching and learning across the school. </w:t>
            </w:r>
          </w:p>
          <w:p w:rsidR="000C51BC" w:rsidRPr="00391D27" w:rsidRDefault="000C51BC" w:rsidP="00391D27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1D27">
              <w:rPr>
                <w:rFonts w:ascii="Calibri" w:eastAsia="Times New Roman" w:hAnsi="Calibri" w:cs="Calibri"/>
                <w:color w:val="000000"/>
                <w:lang w:eastAsia="en-GB"/>
              </w:rPr>
              <w:t>TA'S to work to improve practice with PM targets linked to WALKTHRUS training.</w:t>
            </w:r>
          </w:p>
          <w:p w:rsidR="000C51BC" w:rsidRPr="00391D27" w:rsidRDefault="000C51BC" w:rsidP="00391D27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1D27">
              <w:rPr>
                <w:rFonts w:ascii="Calibri" w:eastAsia="Times New Roman" w:hAnsi="Calibri" w:cs="Calibri"/>
                <w:color w:val="000000"/>
                <w:lang w:eastAsia="en-GB"/>
              </w:rPr>
              <w:t>TAs to observe each other and share good practice</w:t>
            </w:r>
          </w:p>
          <w:p w:rsidR="000C51BC" w:rsidRPr="00391D27" w:rsidRDefault="000C51BC" w:rsidP="00391D27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1D27">
              <w:rPr>
                <w:rFonts w:ascii="Calibri" w:eastAsia="Times New Roman" w:hAnsi="Calibri" w:cs="Calibri"/>
                <w:color w:val="000000"/>
                <w:lang w:eastAsia="en-GB"/>
              </w:rPr>
              <w:t>Pupils in intervention groups make progress.</w:t>
            </w:r>
          </w:p>
          <w:p w:rsidR="008125CA" w:rsidRPr="001C0B7E" w:rsidRDefault="008125CA" w:rsidP="001C0B7E">
            <w:pPr>
              <w:rPr>
                <w:rFonts w:cstheme="minorHAnsi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CA" w:rsidRPr="001C0B7E" w:rsidRDefault="00261FD8" w:rsidP="00391D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C0B7E">
              <w:rPr>
                <w:rFonts w:eastAsia="Times New Roman" w:cstheme="minorHAnsi"/>
                <w:color w:val="000000"/>
                <w:lang w:eastAsia="en-GB"/>
              </w:rPr>
              <w:t>EIG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FD8" w:rsidRPr="001C0B7E" w:rsidRDefault="00261FD8" w:rsidP="00391D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261FD8" w:rsidRPr="001C0B7E" w:rsidRDefault="00261FD8" w:rsidP="00391D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261FD8" w:rsidRPr="001C0B7E" w:rsidRDefault="00261FD8" w:rsidP="00391D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8125CA" w:rsidRPr="001C0B7E" w:rsidRDefault="00A91287" w:rsidP="00391D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C0B7E">
              <w:rPr>
                <w:rFonts w:eastAsia="Times New Roman" w:cstheme="minorHAnsi"/>
                <w:color w:val="000000"/>
                <w:lang w:eastAsia="en-GB"/>
              </w:rPr>
              <w:t>£</w:t>
            </w:r>
            <w:r w:rsidR="00261FD8" w:rsidRPr="001C0B7E">
              <w:rPr>
                <w:rFonts w:eastAsia="Times New Roman" w:cstheme="minorHAnsi"/>
                <w:color w:val="000000"/>
                <w:lang w:eastAsia="en-GB"/>
              </w:rPr>
              <w:t>7</w:t>
            </w:r>
            <w:r w:rsidR="00391D27">
              <w:rPr>
                <w:rFonts w:eastAsia="Times New Roman" w:cstheme="minorHAnsi"/>
                <w:color w:val="000000"/>
                <w:lang w:eastAsia="en-GB"/>
              </w:rPr>
              <w:t>1,561</w:t>
            </w:r>
          </w:p>
        </w:tc>
      </w:tr>
      <w:tr w:rsidR="0074634A" w:rsidRPr="001C0B7E" w:rsidTr="001C0B7E">
        <w:trPr>
          <w:trHeight w:val="8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CA" w:rsidRPr="00391D27" w:rsidRDefault="006E4F44" w:rsidP="008125CA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  <w:lang w:eastAsia="en-GB"/>
              </w:rPr>
            </w:pPr>
            <w:r w:rsidRPr="006E4F44">
              <w:rPr>
                <w:rFonts w:eastAsia="Times New Roman" w:cstheme="minorHAnsi"/>
                <w:color w:val="000000"/>
                <w:lang w:eastAsia="en-GB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CA" w:rsidRPr="00391D27" w:rsidRDefault="00391D27" w:rsidP="008125C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1D27">
              <w:rPr>
                <w:rFonts w:cstheme="minorHAnsi"/>
                <w:color w:val="000000"/>
                <w:shd w:val="clear" w:color="auto" w:fill="FFFFFF"/>
              </w:rPr>
              <w:t>To develop and support staff to work with vulnerable groups to raise attainment, attendance and well being so that they can attain academically, by developing a school culture of self regulation, reflection and quality feedback. 4 part time staff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7" w:rsidRPr="00391D27" w:rsidRDefault="00391D27" w:rsidP="00391D27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1D27">
              <w:rPr>
                <w:rFonts w:ascii="Calibri" w:eastAsia="Times New Roman" w:hAnsi="Calibri" w:cs="Calibri"/>
                <w:color w:val="000000"/>
                <w:lang w:eastAsia="en-GB"/>
              </w:rPr>
              <w:t>PM targets of TA’s are based upon their work with these groups. (individual areas of expertise – ELSA, COMiT, Popat etc..) and measured by pupil progress.</w:t>
            </w:r>
          </w:p>
          <w:p w:rsidR="00391D27" w:rsidRPr="00391D27" w:rsidRDefault="00391D27" w:rsidP="00391D27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1D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TA's to track and monitor progress of the groups – Edukey </w:t>
            </w:r>
          </w:p>
          <w:p w:rsidR="00391D27" w:rsidRPr="00391D27" w:rsidRDefault="00391D27" w:rsidP="00391D27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1D27">
              <w:rPr>
                <w:rFonts w:ascii="Calibri" w:eastAsia="Times New Roman" w:hAnsi="Calibri" w:cs="Calibri"/>
                <w:color w:val="000000"/>
                <w:lang w:eastAsia="en-GB"/>
              </w:rPr>
              <w:t>Pupils will have access to support for wellbeing, LAC, low attainment &amp; engagement from skilled TA’s who can impact positively on these areas.</w:t>
            </w:r>
          </w:p>
          <w:p w:rsidR="00391D27" w:rsidRPr="00391D27" w:rsidRDefault="00391D27" w:rsidP="00391D27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1D27">
              <w:rPr>
                <w:rFonts w:ascii="Calibri" w:eastAsia="Times New Roman" w:hAnsi="Calibri" w:cs="Calibri"/>
                <w:color w:val="000000"/>
                <w:lang w:eastAsia="en-GB"/>
              </w:rPr>
              <w:t>Bespoke programmes to support learners enable them to make progress in priority areas.</w:t>
            </w:r>
          </w:p>
          <w:p w:rsidR="008125CA" w:rsidRPr="00391D27" w:rsidRDefault="00391D27" w:rsidP="00391D27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1D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Whole school </w:t>
            </w:r>
            <w:r w:rsidR="006E081E" w:rsidRPr="00391D27">
              <w:rPr>
                <w:rFonts w:ascii="Calibri" w:eastAsia="Times New Roman" w:hAnsi="Calibri" w:cs="Calibri"/>
                <w:color w:val="000000"/>
                <w:lang w:eastAsia="en-GB"/>
              </w:rPr>
              <w:t>focus</w:t>
            </w:r>
            <w:r w:rsidR="006E081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Pr="00391D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differentiation of tasks and developing independence, </w:t>
            </w:r>
            <w:r w:rsidR="006E081E" w:rsidRPr="00391D27">
              <w:rPr>
                <w:rFonts w:ascii="Calibri" w:eastAsia="Times New Roman" w:hAnsi="Calibri" w:cs="Calibri"/>
                <w:color w:val="000000"/>
                <w:lang w:eastAsia="en-GB"/>
              </w:rPr>
              <w:t>self-regulation</w:t>
            </w:r>
            <w:r w:rsidRPr="00391D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metacognition.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CA" w:rsidRPr="001C0B7E" w:rsidRDefault="00391D27" w:rsidP="00391D2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PDG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FD8" w:rsidRPr="001C0B7E" w:rsidRDefault="00261FD8" w:rsidP="00391D2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261FD8" w:rsidRPr="001C0B7E" w:rsidRDefault="00261FD8" w:rsidP="00391D2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391D27" w:rsidRDefault="00391D27" w:rsidP="00391D2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391D27" w:rsidRDefault="00391D27" w:rsidP="00391D2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391D27" w:rsidRDefault="00391D27" w:rsidP="00391D2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8125CA" w:rsidRPr="001C0B7E" w:rsidRDefault="00A91287" w:rsidP="00391D2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C0B7E">
              <w:rPr>
                <w:rFonts w:eastAsia="Times New Roman" w:cstheme="minorHAnsi"/>
                <w:color w:val="000000"/>
                <w:lang w:eastAsia="en-GB"/>
              </w:rPr>
              <w:t>£</w:t>
            </w:r>
            <w:r w:rsidR="00391D27">
              <w:rPr>
                <w:rFonts w:eastAsia="Times New Roman" w:cstheme="minorHAnsi"/>
                <w:color w:val="000000"/>
                <w:lang w:eastAsia="en-GB"/>
              </w:rPr>
              <w:t>17,250</w:t>
            </w:r>
          </w:p>
        </w:tc>
      </w:tr>
      <w:tr w:rsidR="0074634A" w:rsidRPr="001C0B7E" w:rsidTr="001C0B7E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CA" w:rsidRPr="00391D27" w:rsidRDefault="006E4F44" w:rsidP="008125CA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  <w:lang w:eastAsia="en-GB"/>
              </w:rPr>
            </w:pPr>
            <w:r w:rsidRPr="006E4F44">
              <w:rPr>
                <w:rFonts w:eastAsia="Times New Roman" w:cstheme="minorHAnsi"/>
                <w:color w:val="000000"/>
                <w:lang w:eastAsia="en-GB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FD8" w:rsidRPr="00576E20" w:rsidRDefault="00261FD8" w:rsidP="00261FD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76E20">
              <w:rPr>
                <w:rFonts w:eastAsia="Times New Roman" w:cstheme="minorHAnsi"/>
                <w:color w:val="000000"/>
                <w:lang w:eastAsia="en-GB"/>
              </w:rPr>
              <w:t>Release days for ALNCo to attend meetings, liaise with parents and professionals, attend training and complete extensive paperwork.</w:t>
            </w:r>
          </w:p>
          <w:p w:rsidR="008125CA" w:rsidRPr="00576E20" w:rsidRDefault="008125CA" w:rsidP="008125C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F01" w:rsidRDefault="00261FD8" w:rsidP="007D4F0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/>
              </w:rPr>
            </w:pPr>
            <w:r w:rsidRPr="007D4F01">
              <w:rPr>
                <w:rFonts w:cstheme="minorHAnsi"/>
                <w:color w:val="000000"/>
              </w:rPr>
              <w:t>To attend all cluster network meetings to be updated on ALN protocols across Newport.</w:t>
            </w:r>
          </w:p>
          <w:p w:rsidR="007D4F01" w:rsidRDefault="00261FD8" w:rsidP="007D4F0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/>
              </w:rPr>
            </w:pPr>
            <w:r w:rsidRPr="007D4F01">
              <w:rPr>
                <w:rFonts w:cstheme="minorHAnsi"/>
                <w:color w:val="000000"/>
              </w:rPr>
              <w:t>To support staff in school to complete tracking and evaluations on EduKey to monitor progress of ALN learners.</w:t>
            </w:r>
          </w:p>
          <w:p w:rsidR="008125CA" w:rsidRPr="007D4F01" w:rsidRDefault="00261FD8" w:rsidP="007D4F0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/>
              </w:rPr>
            </w:pPr>
            <w:r w:rsidRPr="007D4F01">
              <w:rPr>
                <w:rFonts w:cstheme="minorHAnsi"/>
                <w:color w:val="000000"/>
              </w:rPr>
              <w:t>ALNCo time to meet with parents and make phone calls to update parents &amp; professional on updates or progress for individuals.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CA" w:rsidRPr="001C0B7E" w:rsidRDefault="00261FD8" w:rsidP="00261FD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C0B7E">
              <w:rPr>
                <w:rFonts w:eastAsia="Times New Roman" w:cstheme="minorHAnsi"/>
                <w:color w:val="000000"/>
                <w:lang w:eastAsia="en-GB"/>
              </w:rPr>
              <w:t>ALNCo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FD8" w:rsidRPr="001C0B7E" w:rsidRDefault="00261FD8" w:rsidP="008125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261FD8" w:rsidRPr="001C0B7E" w:rsidRDefault="00261FD8" w:rsidP="008125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261FD8" w:rsidRPr="001C0B7E" w:rsidRDefault="00261FD8" w:rsidP="008125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8125CA" w:rsidRPr="001C0B7E" w:rsidRDefault="00A91287" w:rsidP="001C0B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C0B7E">
              <w:rPr>
                <w:rFonts w:eastAsia="Times New Roman" w:cstheme="minorHAnsi"/>
                <w:color w:val="000000"/>
                <w:lang w:eastAsia="en-GB"/>
              </w:rPr>
              <w:t>£</w:t>
            </w:r>
            <w:r w:rsidR="00576E20">
              <w:rPr>
                <w:rFonts w:eastAsia="Times New Roman" w:cstheme="minorHAnsi"/>
                <w:color w:val="000000"/>
                <w:lang w:eastAsia="en-GB"/>
              </w:rPr>
              <w:t>5068</w:t>
            </w:r>
          </w:p>
        </w:tc>
      </w:tr>
      <w:tr w:rsidR="0074634A" w:rsidRPr="001C0B7E" w:rsidTr="001C0B7E">
        <w:trPr>
          <w:trHeight w:val="6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CA" w:rsidRPr="00391D27" w:rsidRDefault="001C0B7E" w:rsidP="008125CA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  <w:lang w:eastAsia="en-GB"/>
              </w:rPr>
            </w:pPr>
            <w:r w:rsidRPr="00F430F4">
              <w:rPr>
                <w:rFonts w:eastAsia="Times New Roman" w:cstheme="minorHAnsi"/>
                <w:color w:val="000000"/>
                <w:lang w:eastAsia="en-GB"/>
              </w:rPr>
              <w:lastRenderedPageBreak/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CA" w:rsidRPr="00391D27" w:rsidRDefault="006E4F44" w:rsidP="008125CA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  <w:lang w:eastAsia="en-GB"/>
              </w:rPr>
            </w:pPr>
            <w:r w:rsidRPr="006E4F44">
              <w:rPr>
                <w:rFonts w:cstheme="minorHAnsi"/>
                <w:color w:val="000000"/>
              </w:rPr>
              <w:t>Employ an additional TA for Reception class to help settle and support vulnerable pupils with the transition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F44" w:rsidRPr="006E081E" w:rsidRDefault="006E4F44" w:rsidP="006E0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E081E">
              <w:rPr>
                <w:rFonts w:eastAsia="Times New Roman" w:cstheme="minorHAnsi"/>
                <w:color w:val="000000"/>
                <w:lang w:eastAsia="en-GB"/>
              </w:rPr>
              <w:t>Pupils settling into school routines seamlessly</w:t>
            </w:r>
          </w:p>
          <w:p w:rsidR="006E4F44" w:rsidRPr="006E081E" w:rsidRDefault="006E4F44" w:rsidP="006E0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E081E">
              <w:rPr>
                <w:rFonts w:eastAsia="Times New Roman" w:cstheme="minorHAnsi"/>
                <w:color w:val="000000"/>
                <w:lang w:eastAsia="en-GB"/>
              </w:rPr>
              <w:t>Baseline identifies specific gaps in learning and adults move learning on through specific targeted work.</w:t>
            </w:r>
          </w:p>
          <w:p w:rsidR="008125CA" w:rsidRPr="006E081E" w:rsidRDefault="006E4F44" w:rsidP="006E0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E081E">
              <w:rPr>
                <w:rFonts w:eastAsia="Times New Roman" w:cstheme="minorHAnsi"/>
                <w:color w:val="000000"/>
                <w:lang w:eastAsia="en-GB"/>
              </w:rPr>
              <w:t>Pupils needs are identified and addressed following baselines.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CA" w:rsidRPr="001C0B7E" w:rsidRDefault="006E4F44" w:rsidP="008125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EYPDG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34A" w:rsidRPr="001C0B7E" w:rsidRDefault="0074634A" w:rsidP="008125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74634A" w:rsidRPr="001C0B7E" w:rsidRDefault="0074634A" w:rsidP="008125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8125CA" w:rsidRPr="001C0B7E" w:rsidRDefault="00A91287" w:rsidP="001C0B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C0B7E">
              <w:rPr>
                <w:rFonts w:eastAsia="Times New Roman" w:cstheme="minorHAnsi"/>
                <w:color w:val="000000"/>
                <w:lang w:eastAsia="en-GB"/>
              </w:rPr>
              <w:t>£</w:t>
            </w:r>
            <w:r w:rsidR="006E4F44">
              <w:rPr>
                <w:rFonts w:eastAsia="Times New Roman" w:cstheme="minorHAnsi"/>
                <w:color w:val="000000"/>
                <w:lang w:eastAsia="en-GB"/>
              </w:rPr>
              <w:t>4600</w:t>
            </w:r>
          </w:p>
        </w:tc>
      </w:tr>
      <w:tr w:rsidR="0074634A" w:rsidRPr="001C0B7E" w:rsidTr="001C0B7E">
        <w:trPr>
          <w:trHeight w:val="22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CA" w:rsidRPr="00391D27" w:rsidRDefault="006E081E" w:rsidP="008125CA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F44" w:rsidRPr="006E4F44" w:rsidRDefault="006E4F44" w:rsidP="006E4F44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E4F44">
              <w:rPr>
                <w:rFonts w:eastAsia="Times New Roman" w:cstheme="minorHAnsi"/>
                <w:color w:val="000000"/>
                <w:lang w:eastAsia="en-GB"/>
              </w:rPr>
              <w:t>Pupils settling into school routines seamlessly</w:t>
            </w:r>
          </w:p>
          <w:p w:rsidR="006E4F44" w:rsidRPr="006E4F44" w:rsidRDefault="006E4F44" w:rsidP="006E4F44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E4F44">
              <w:rPr>
                <w:rFonts w:eastAsia="Times New Roman" w:cstheme="minorHAnsi"/>
                <w:color w:val="000000"/>
                <w:lang w:eastAsia="en-GB"/>
              </w:rPr>
              <w:t>Baseline identifies specific gaps in learning and adults move learning on through specific targeted work.</w:t>
            </w:r>
          </w:p>
          <w:p w:rsidR="006E4F44" w:rsidRPr="006E4F44" w:rsidRDefault="006E4F44" w:rsidP="006E4F44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E4F44">
              <w:rPr>
                <w:rFonts w:eastAsia="Times New Roman" w:cstheme="minorHAnsi"/>
                <w:color w:val="000000"/>
                <w:lang w:eastAsia="en-GB"/>
              </w:rPr>
              <w:t>Pupils needs are identified and addressed following baselines.</w:t>
            </w:r>
          </w:p>
          <w:p w:rsidR="008125CA" w:rsidRPr="00391D27" w:rsidRDefault="008125CA" w:rsidP="008125CA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  <w:lang w:eastAsia="en-GB"/>
              </w:rPr>
            </w:pP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F44" w:rsidRPr="006E081E" w:rsidRDefault="006E4F44" w:rsidP="006E081E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E081E">
              <w:rPr>
                <w:rFonts w:eastAsia="Times New Roman" w:cstheme="minorHAnsi"/>
                <w:color w:val="000000"/>
                <w:lang w:eastAsia="en-GB"/>
              </w:rPr>
              <w:t xml:space="preserve">AOLE leads monitor, review and feedback to staff half termly on impact of </w:t>
            </w:r>
            <w:r w:rsidR="00975D03" w:rsidRPr="006E081E">
              <w:rPr>
                <w:rFonts w:eastAsia="Times New Roman" w:cstheme="minorHAnsi"/>
                <w:color w:val="000000"/>
                <w:lang w:eastAsia="en-GB"/>
              </w:rPr>
              <w:t>their</w:t>
            </w:r>
            <w:r w:rsidRPr="006E081E">
              <w:rPr>
                <w:rFonts w:eastAsia="Times New Roman" w:cstheme="minorHAnsi"/>
                <w:color w:val="000000"/>
                <w:lang w:eastAsia="en-GB"/>
              </w:rPr>
              <w:t xml:space="preserve"> curriculum area and progression evidenced.</w:t>
            </w:r>
          </w:p>
          <w:p w:rsidR="006E4F44" w:rsidRPr="006E081E" w:rsidRDefault="006E4F44" w:rsidP="006E081E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E081E">
              <w:rPr>
                <w:rFonts w:eastAsia="Times New Roman" w:cstheme="minorHAnsi"/>
                <w:color w:val="000000"/>
                <w:lang w:eastAsia="en-GB"/>
              </w:rPr>
              <w:t>AOLE leads identify areas to develop with a focus on the progression of skills across the school in specific AOLE</w:t>
            </w:r>
          </w:p>
          <w:p w:rsidR="006E4F44" w:rsidRPr="006E081E" w:rsidRDefault="006E4F44" w:rsidP="006E081E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E081E">
              <w:rPr>
                <w:rFonts w:eastAsia="Times New Roman" w:cstheme="minorHAnsi"/>
                <w:color w:val="000000"/>
                <w:lang w:eastAsia="en-GB"/>
              </w:rPr>
              <w:t>Many pupils build on previously taught skills in all areas of the curriculum and begin to apply to new situations.</w:t>
            </w:r>
          </w:p>
          <w:p w:rsidR="006E4F44" w:rsidRPr="006E081E" w:rsidRDefault="006E4F44" w:rsidP="006E081E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E081E">
              <w:rPr>
                <w:rFonts w:eastAsia="Times New Roman" w:cstheme="minorHAnsi"/>
                <w:color w:val="000000"/>
                <w:lang w:eastAsia="en-GB"/>
              </w:rPr>
              <w:t>Nearly all pupils make progress in all AOLE's</w:t>
            </w:r>
          </w:p>
          <w:p w:rsidR="008125CA" w:rsidRPr="006E081E" w:rsidRDefault="008125CA" w:rsidP="0008239B">
            <w:pPr>
              <w:rPr>
                <w:rFonts w:cstheme="minorHAnsi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CA" w:rsidRPr="001C0B7E" w:rsidRDefault="006E4F44" w:rsidP="008125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PL Grant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5CA" w:rsidRPr="001C0B7E" w:rsidRDefault="008125CA" w:rsidP="008125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74634A" w:rsidRPr="001C0B7E" w:rsidRDefault="0074634A" w:rsidP="008125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74634A" w:rsidRPr="001C0B7E" w:rsidRDefault="0074634A" w:rsidP="008125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1C0B7E" w:rsidRDefault="001C0B7E" w:rsidP="008125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74634A" w:rsidRPr="001C0B7E" w:rsidRDefault="0074634A" w:rsidP="008125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C0B7E">
              <w:rPr>
                <w:rFonts w:eastAsia="Times New Roman" w:cstheme="minorHAnsi"/>
                <w:color w:val="000000"/>
                <w:lang w:eastAsia="en-GB"/>
              </w:rPr>
              <w:t>£</w:t>
            </w:r>
            <w:r w:rsidR="006E4F44">
              <w:rPr>
                <w:rFonts w:eastAsia="Times New Roman" w:cstheme="minorHAnsi"/>
                <w:color w:val="000000"/>
                <w:lang w:eastAsia="en-GB"/>
              </w:rPr>
              <w:t>3672</w:t>
            </w:r>
          </w:p>
        </w:tc>
      </w:tr>
      <w:tr w:rsidR="0074634A" w:rsidRPr="001C0B7E" w:rsidTr="001C0B7E">
        <w:trPr>
          <w:trHeight w:val="162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CA" w:rsidRPr="00391D27" w:rsidRDefault="00F430F4" w:rsidP="008125CA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  <w:lang w:eastAsia="en-GB"/>
              </w:rPr>
            </w:pPr>
            <w:r w:rsidRPr="00D41F25">
              <w:rPr>
                <w:rFonts w:eastAsia="Times New Roman" w:cstheme="minorHAnsi"/>
                <w:color w:val="000000"/>
                <w:lang w:eastAsia="en-GB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CA" w:rsidRPr="006E4F44" w:rsidRDefault="006E4F44" w:rsidP="001C0B7E">
            <w:pPr>
              <w:rPr>
                <w:rFonts w:cstheme="minorHAnsi"/>
                <w:color w:val="000000"/>
                <w:highlight w:val="yellow"/>
              </w:rPr>
            </w:pPr>
            <w:r w:rsidRPr="006E4F44">
              <w:rPr>
                <w:rFonts w:cstheme="minorHAnsi"/>
                <w:color w:val="000000"/>
                <w:shd w:val="clear" w:color="auto" w:fill="FFFFFF"/>
              </w:rPr>
              <w:t>Welsh lead works with Criw Cymraeg and whole school to achieve the Cymre</w:t>
            </w:r>
            <w:r w:rsidR="00975D03">
              <w:rPr>
                <w:rFonts w:cstheme="minorHAnsi"/>
                <w:color w:val="000000"/>
                <w:shd w:val="clear" w:color="auto" w:fill="FFFFFF"/>
              </w:rPr>
              <w:t>a</w:t>
            </w:r>
            <w:r w:rsidRPr="006E4F44">
              <w:rPr>
                <w:rFonts w:cstheme="minorHAnsi"/>
                <w:color w:val="000000"/>
                <w:shd w:val="clear" w:color="auto" w:fill="FFFFFF"/>
              </w:rPr>
              <w:t>g Campus Arian Award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F44" w:rsidRPr="006E081E" w:rsidRDefault="006E4F44" w:rsidP="006E081E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E081E">
              <w:rPr>
                <w:rFonts w:eastAsia="Times New Roman" w:cstheme="minorHAnsi"/>
                <w:color w:val="000000"/>
                <w:lang w:eastAsia="en-GB"/>
              </w:rPr>
              <w:t>Criw Cymre</w:t>
            </w:r>
            <w:r w:rsidR="00975D03">
              <w:rPr>
                <w:rFonts w:eastAsia="Times New Roman" w:cstheme="minorHAnsi"/>
                <w:color w:val="000000"/>
                <w:lang w:eastAsia="en-GB"/>
              </w:rPr>
              <w:t>a</w:t>
            </w:r>
            <w:r w:rsidRPr="006E081E">
              <w:rPr>
                <w:rFonts w:eastAsia="Times New Roman" w:cstheme="minorHAnsi"/>
                <w:color w:val="000000"/>
                <w:lang w:eastAsia="en-GB"/>
              </w:rPr>
              <w:t>g identify and share with the school the targets needed to achieve the award.</w:t>
            </w:r>
          </w:p>
          <w:p w:rsidR="006E4F44" w:rsidRPr="006E081E" w:rsidRDefault="006E4F44" w:rsidP="006E081E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E081E">
              <w:rPr>
                <w:rFonts w:eastAsia="Times New Roman" w:cstheme="minorHAnsi"/>
                <w:color w:val="000000"/>
                <w:lang w:eastAsia="en-GB"/>
              </w:rPr>
              <w:t xml:space="preserve">The whole school improves its use of welsh </w:t>
            </w:r>
            <w:r w:rsidR="00975D03" w:rsidRPr="006E081E">
              <w:rPr>
                <w:rFonts w:eastAsia="Times New Roman" w:cstheme="minorHAnsi"/>
                <w:color w:val="000000"/>
                <w:lang w:eastAsia="en-GB"/>
              </w:rPr>
              <w:t>language</w:t>
            </w:r>
            <w:bookmarkStart w:id="0" w:name="_GoBack"/>
            <w:bookmarkEnd w:id="0"/>
            <w:r w:rsidRPr="006E081E">
              <w:rPr>
                <w:rFonts w:eastAsia="Times New Roman" w:cstheme="minorHAnsi"/>
                <w:color w:val="000000"/>
                <w:lang w:eastAsia="en-GB"/>
              </w:rPr>
              <w:t xml:space="preserve"> every day</w:t>
            </w:r>
          </w:p>
          <w:p w:rsidR="006E4F44" w:rsidRPr="006E081E" w:rsidRDefault="006E4F44" w:rsidP="006E081E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E081E">
              <w:rPr>
                <w:rFonts w:eastAsia="Times New Roman" w:cstheme="minorHAnsi"/>
                <w:color w:val="000000"/>
                <w:lang w:eastAsia="en-GB"/>
              </w:rPr>
              <w:t>Nearly all pupils and staff use welsh on a daily basis to ask and answer questions.</w:t>
            </w:r>
          </w:p>
          <w:p w:rsidR="006E4F44" w:rsidRPr="006E081E" w:rsidRDefault="006E4F44" w:rsidP="006E081E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E081E">
              <w:rPr>
                <w:rFonts w:eastAsia="Times New Roman" w:cstheme="minorHAnsi"/>
                <w:color w:val="000000"/>
                <w:lang w:eastAsia="en-GB"/>
              </w:rPr>
              <w:t>All targets on the Arian Award are embedded across the school.</w:t>
            </w:r>
          </w:p>
          <w:p w:rsidR="006E4F44" w:rsidRPr="006E081E" w:rsidRDefault="006E4F44" w:rsidP="006E081E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E081E">
              <w:rPr>
                <w:rFonts w:eastAsia="Times New Roman" w:cstheme="minorHAnsi"/>
                <w:color w:val="000000"/>
                <w:lang w:eastAsia="en-GB"/>
              </w:rPr>
              <w:t>Welsh lead collates evidence and drives through actions to meet the criteria.</w:t>
            </w:r>
          </w:p>
          <w:p w:rsidR="008125CA" w:rsidRPr="006E4F44" w:rsidRDefault="008125CA" w:rsidP="008125CA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  <w:lang w:eastAsia="en-GB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CA" w:rsidRPr="001C0B7E" w:rsidRDefault="006E4F44" w:rsidP="008125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WEG Main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5CA" w:rsidRPr="001C0B7E" w:rsidRDefault="008125CA" w:rsidP="008125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08239B" w:rsidRPr="001C0B7E" w:rsidRDefault="0008239B" w:rsidP="008125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08239B" w:rsidRPr="001C0B7E" w:rsidRDefault="0008239B" w:rsidP="008125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08239B" w:rsidRPr="001C0B7E" w:rsidRDefault="0008239B" w:rsidP="008125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08239B" w:rsidRPr="001C0B7E" w:rsidRDefault="0008239B" w:rsidP="008125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C0B7E">
              <w:rPr>
                <w:rFonts w:eastAsia="Times New Roman" w:cstheme="minorHAnsi"/>
                <w:color w:val="000000"/>
                <w:lang w:eastAsia="en-GB"/>
              </w:rPr>
              <w:t>£</w:t>
            </w:r>
            <w:r w:rsidR="006E4F44">
              <w:rPr>
                <w:rFonts w:eastAsia="Times New Roman" w:cstheme="minorHAnsi"/>
                <w:color w:val="000000"/>
                <w:lang w:eastAsia="en-GB"/>
              </w:rPr>
              <w:t>1783</w:t>
            </w:r>
          </w:p>
        </w:tc>
      </w:tr>
      <w:tr w:rsidR="0074634A" w:rsidRPr="001C0B7E" w:rsidTr="001C0B7E">
        <w:trPr>
          <w:trHeight w:val="126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CA" w:rsidRPr="00391D27" w:rsidRDefault="00F430F4" w:rsidP="008125CA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  <w:lang w:eastAsia="en-GB"/>
              </w:rPr>
            </w:pPr>
            <w:r w:rsidRPr="00F430F4"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CA" w:rsidRPr="006E4F44" w:rsidRDefault="006E4F44" w:rsidP="008125CA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  <w:lang w:eastAsia="en-GB"/>
              </w:rPr>
            </w:pPr>
            <w:r w:rsidRPr="006E4F44">
              <w:rPr>
                <w:rFonts w:cstheme="minorHAnsi"/>
                <w:color w:val="000000"/>
                <w:shd w:val="clear" w:color="auto" w:fill="FFFFFF"/>
              </w:rPr>
              <w:t>Employ a teacher to support recovery and raise standards across the school for the Autumn term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F44" w:rsidRPr="006E081E" w:rsidRDefault="006E4F44" w:rsidP="006E081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E081E">
              <w:rPr>
                <w:rFonts w:eastAsia="Times New Roman" w:cstheme="minorHAnsi"/>
                <w:color w:val="000000"/>
                <w:lang w:eastAsia="en-GB"/>
              </w:rPr>
              <w:t>Nearly all pupils working below expected outcomes make progress in literacy and numeracy in the autumn term.</w:t>
            </w:r>
          </w:p>
          <w:p w:rsidR="006E4F44" w:rsidRPr="006E081E" w:rsidRDefault="006E4F44" w:rsidP="006E081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E081E">
              <w:rPr>
                <w:rFonts w:eastAsia="Times New Roman" w:cstheme="minorHAnsi"/>
                <w:color w:val="000000"/>
                <w:lang w:eastAsia="en-GB"/>
              </w:rPr>
              <w:t>Next steps in learning are identified for pupils with barriers and small group and individual support to address these areas enables barriers to be reduced.</w:t>
            </w:r>
          </w:p>
          <w:p w:rsidR="006E4F44" w:rsidRPr="006E081E" w:rsidRDefault="006E4F44" w:rsidP="006E081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E081E">
              <w:rPr>
                <w:rFonts w:eastAsia="Times New Roman" w:cstheme="minorHAnsi"/>
                <w:color w:val="000000"/>
                <w:lang w:eastAsia="en-GB"/>
              </w:rPr>
              <w:t>Consistent and regular support addresses misconceptions and moves learning forward.</w:t>
            </w:r>
          </w:p>
          <w:p w:rsidR="006E4F44" w:rsidRPr="006E081E" w:rsidRDefault="006E4F44" w:rsidP="006E081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E081E">
              <w:rPr>
                <w:rFonts w:eastAsia="Times New Roman" w:cstheme="minorHAnsi"/>
                <w:color w:val="000000"/>
                <w:lang w:eastAsia="en-GB"/>
              </w:rPr>
              <w:t xml:space="preserve">Nearly all </w:t>
            </w:r>
            <w:r w:rsidR="006E081E" w:rsidRPr="006E081E">
              <w:rPr>
                <w:rFonts w:eastAsia="Times New Roman" w:cstheme="minorHAnsi"/>
                <w:color w:val="000000"/>
                <w:lang w:eastAsia="en-GB"/>
              </w:rPr>
              <w:t>pupil’s</w:t>
            </w:r>
            <w:r w:rsidRPr="006E081E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="006E081E" w:rsidRPr="006E081E">
              <w:rPr>
                <w:rFonts w:eastAsia="Times New Roman" w:cstheme="minorHAnsi"/>
                <w:color w:val="000000"/>
                <w:lang w:eastAsia="en-GB"/>
              </w:rPr>
              <w:t>self-esteem</w:t>
            </w:r>
            <w:r w:rsidRPr="006E081E">
              <w:rPr>
                <w:rFonts w:eastAsia="Times New Roman" w:cstheme="minorHAnsi"/>
                <w:color w:val="000000"/>
                <w:lang w:eastAsia="en-GB"/>
              </w:rPr>
              <w:t xml:space="preserve"> is raised through being successful.</w:t>
            </w:r>
          </w:p>
          <w:p w:rsidR="008125CA" w:rsidRPr="006E4F44" w:rsidRDefault="008125CA" w:rsidP="001C0B7E">
            <w:pPr>
              <w:rPr>
                <w:rFonts w:cstheme="minorHAnsi"/>
                <w:color w:val="000000"/>
                <w:highlight w:val="yellow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5CA" w:rsidRPr="001C0B7E" w:rsidRDefault="006E4F44" w:rsidP="006E4F4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 RRR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5CA" w:rsidRPr="001C0B7E" w:rsidRDefault="008125CA" w:rsidP="0008239B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08239B" w:rsidRPr="001C0B7E" w:rsidRDefault="0008239B" w:rsidP="0008239B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08239B" w:rsidRPr="001C0B7E" w:rsidRDefault="0008239B" w:rsidP="0008239B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08239B" w:rsidRPr="001C0B7E" w:rsidRDefault="0008239B" w:rsidP="0008239B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08239B" w:rsidRPr="001C0B7E" w:rsidRDefault="0008239B" w:rsidP="0008239B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08239B" w:rsidRPr="001C0B7E" w:rsidRDefault="0008239B" w:rsidP="00082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C0B7E">
              <w:rPr>
                <w:rFonts w:eastAsia="Times New Roman" w:cstheme="minorHAnsi"/>
                <w:color w:val="000000"/>
                <w:lang w:eastAsia="en-GB"/>
              </w:rPr>
              <w:t>£</w:t>
            </w:r>
            <w:r w:rsidR="006E4F44">
              <w:rPr>
                <w:rFonts w:eastAsia="Times New Roman" w:cstheme="minorHAnsi"/>
                <w:color w:val="000000"/>
                <w:lang w:eastAsia="en-GB"/>
              </w:rPr>
              <w:t>13399</w:t>
            </w:r>
          </w:p>
        </w:tc>
      </w:tr>
    </w:tbl>
    <w:p w:rsidR="009A0FE2" w:rsidRPr="001C0B7E" w:rsidRDefault="00975D03">
      <w:pPr>
        <w:rPr>
          <w:rFonts w:cstheme="minorHAnsi"/>
        </w:rPr>
      </w:pPr>
    </w:p>
    <w:p w:rsidR="001C0B7E" w:rsidRDefault="001C0B7E">
      <w:pPr>
        <w:rPr>
          <w:rFonts w:cstheme="minorHAnsi"/>
        </w:rPr>
      </w:pPr>
    </w:p>
    <w:p w:rsidR="006A2D9D" w:rsidRPr="001C0B7E" w:rsidRDefault="006A2D9D">
      <w:pPr>
        <w:rPr>
          <w:rFonts w:cstheme="minorHAnsi"/>
          <w:b/>
          <w:sz w:val="28"/>
          <w:szCs w:val="28"/>
        </w:rPr>
      </w:pPr>
      <w:r w:rsidRPr="001C0B7E">
        <w:rPr>
          <w:rFonts w:cstheme="minorHAnsi"/>
          <w:b/>
          <w:sz w:val="28"/>
          <w:szCs w:val="28"/>
        </w:rPr>
        <w:t>Cluster Grants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"/>
        <w:gridCol w:w="3510"/>
        <w:gridCol w:w="6579"/>
        <w:gridCol w:w="1276"/>
        <w:gridCol w:w="1188"/>
      </w:tblGrid>
      <w:tr w:rsidR="006A2D9D" w:rsidRPr="001C0B7E" w:rsidTr="006A2D9D">
        <w:tc>
          <w:tcPr>
            <w:tcW w:w="1413" w:type="dxa"/>
          </w:tcPr>
          <w:p w:rsidR="006A2D9D" w:rsidRPr="001C0B7E" w:rsidRDefault="0040617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544" w:type="dxa"/>
          </w:tcPr>
          <w:p w:rsidR="006A2D9D" w:rsidRPr="000C51BC" w:rsidRDefault="000C51BC" w:rsidP="0008239B">
            <w:pPr>
              <w:rPr>
                <w:rFonts w:cstheme="minorHAnsi"/>
                <w:sz w:val="20"/>
                <w:szCs w:val="20"/>
              </w:rPr>
            </w:pPr>
            <w:r w:rsidRPr="000C51B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Release for staff to attend 1) social and emotional learning training 2) behaviour and intervention training 3) met-cognition and self-regulation training 4) senior staff to </w:t>
            </w:r>
            <w:r w:rsidR="006E081E" w:rsidRPr="000C51B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strategically</w:t>
            </w:r>
            <w:r w:rsidRPr="000C51B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plan and meet to discuss LAC training and report on progress </w:t>
            </w:r>
            <w:r w:rsidR="00975D03" w:rsidRPr="000C51B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Well-being</w:t>
            </w:r>
            <w:r w:rsidRPr="000C51B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E081E" w:rsidRPr="000C51B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lead tracking</w:t>
            </w:r>
            <w:r w:rsidRPr="000C51B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LAC/Vul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ne</w:t>
            </w:r>
            <w:r w:rsidRPr="000C51B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rable groups and identified individuals to track academic achievement, social skills and attendance. LAC coordinator attending network meetings and disseminating to staff.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C51B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COMIT in house training for staff to lead interventions for LAC, and identified children. also transition programme set up with High School to </w:t>
            </w:r>
            <w:r w:rsidR="006E081E" w:rsidRPr="000C51B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plan</w:t>
            </w:r>
            <w:r w:rsidRPr="000C51B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additional visits for LAC. E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LSA</w:t>
            </w:r>
            <w:r w:rsidRPr="000C51B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sessions, network meetings and training to support LAC. banking time sessions for individuals. Ace awareness sessions 1 &amp; 2 for all staff. Attachment training for ALNCO and </w:t>
            </w:r>
            <w:r w:rsidR="006E081E" w:rsidRPr="000C51B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well-being</w:t>
            </w:r>
            <w:r w:rsidRPr="000C51B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TA lead. Families Connect 10-week programme run by </w:t>
            </w:r>
            <w:r w:rsidR="006E081E" w:rsidRPr="000C51B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well-being</w:t>
            </w:r>
            <w:r w:rsidRPr="000C51B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lead to support families, </w:t>
            </w:r>
            <w:r w:rsidR="00975D03" w:rsidRPr="000C51B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school-based</w:t>
            </w:r>
            <w:r w:rsidRPr="000C51B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counselling for </w:t>
            </w:r>
            <w:r w:rsidR="006E081E" w:rsidRPr="000C51B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individuals</w:t>
            </w:r>
          </w:p>
        </w:tc>
        <w:tc>
          <w:tcPr>
            <w:tcW w:w="6662" w:type="dxa"/>
          </w:tcPr>
          <w:p w:rsidR="006A2D9D" w:rsidRPr="001C0B7E" w:rsidRDefault="000C51BC">
            <w:pPr>
              <w:rPr>
                <w:rFonts w:cstheme="minorHAnsi"/>
              </w:rPr>
            </w:pPr>
            <w:r w:rsidRPr="000C51BC">
              <w:rPr>
                <w:rFonts w:cstheme="minorHAnsi"/>
                <w:color w:val="000000"/>
              </w:rPr>
              <w:t>Improve cluster knowledge re: how best to support LAC pupils socially and emotionally so as to prevent disengagement from academic subjects (</w:t>
            </w:r>
            <w:r w:rsidR="006E081E" w:rsidRPr="000C51BC">
              <w:rPr>
                <w:rFonts w:cstheme="minorHAnsi"/>
                <w:color w:val="000000"/>
              </w:rPr>
              <w:t>particularly</w:t>
            </w:r>
            <w:r w:rsidRPr="000C51BC">
              <w:rPr>
                <w:rFonts w:cstheme="minorHAnsi"/>
                <w:color w:val="000000"/>
              </w:rPr>
              <w:t xml:space="preserve"> literacy and numeracy) lower exclusions, improve attendance, increase confidence and self-esteem and ensure </w:t>
            </w:r>
            <w:r w:rsidR="006E081E" w:rsidRPr="000C51BC">
              <w:rPr>
                <w:rFonts w:cstheme="minorHAnsi"/>
                <w:color w:val="000000"/>
              </w:rPr>
              <w:t>seamless</w:t>
            </w:r>
            <w:r w:rsidRPr="000C51BC">
              <w:rPr>
                <w:rFonts w:cstheme="minorHAnsi"/>
                <w:color w:val="000000"/>
              </w:rPr>
              <w:t xml:space="preserve"> transition for all LAC learners</w:t>
            </w:r>
          </w:p>
        </w:tc>
        <w:tc>
          <w:tcPr>
            <w:tcW w:w="1134" w:type="dxa"/>
          </w:tcPr>
          <w:p w:rsidR="006A2D9D" w:rsidRPr="001C0B7E" w:rsidRDefault="000C51BC">
            <w:pPr>
              <w:rPr>
                <w:rFonts w:cstheme="minorHAnsi"/>
              </w:rPr>
            </w:pPr>
            <w:r w:rsidRPr="000C51BC">
              <w:rPr>
                <w:rFonts w:cstheme="minorHAnsi"/>
              </w:rPr>
              <w:t>PDG LAC Cluster Distribution</w:t>
            </w:r>
          </w:p>
        </w:tc>
        <w:tc>
          <w:tcPr>
            <w:tcW w:w="1195" w:type="dxa"/>
          </w:tcPr>
          <w:p w:rsidR="006A2D9D" w:rsidRPr="001C0B7E" w:rsidRDefault="006A2D9D">
            <w:pPr>
              <w:rPr>
                <w:rFonts w:cstheme="minorHAnsi"/>
              </w:rPr>
            </w:pPr>
            <w:r w:rsidRPr="001C0B7E">
              <w:rPr>
                <w:rFonts w:cstheme="minorHAnsi"/>
              </w:rPr>
              <w:t>£</w:t>
            </w:r>
            <w:r w:rsidR="00E645AB">
              <w:rPr>
                <w:rFonts w:cstheme="minorHAnsi"/>
              </w:rPr>
              <w:t>4964</w:t>
            </w:r>
          </w:p>
        </w:tc>
      </w:tr>
      <w:tr w:rsidR="0040617B" w:rsidRPr="001C0B7E" w:rsidTr="006A2D9D">
        <w:tc>
          <w:tcPr>
            <w:tcW w:w="1413" w:type="dxa"/>
          </w:tcPr>
          <w:p w:rsidR="0040617B" w:rsidRPr="001C0B7E" w:rsidRDefault="0040617B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:rsidR="0040617B" w:rsidRPr="001C0B7E" w:rsidRDefault="0040617B" w:rsidP="0008239B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6662" w:type="dxa"/>
          </w:tcPr>
          <w:p w:rsidR="0040617B" w:rsidRPr="001C0B7E" w:rsidRDefault="0040617B" w:rsidP="006A2D9D">
            <w:pPr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</w:tcPr>
          <w:p w:rsidR="0040617B" w:rsidRPr="001C0B7E" w:rsidRDefault="0040617B">
            <w:pPr>
              <w:rPr>
                <w:rFonts w:cstheme="minorHAnsi"/>
              </w:rPr>
            </w:pPr>
          </w:p>
        </w:tc>
        <w:tc>
          <w:tcPr>
            <w:tcW w:w="1195" w:type="dxa"/>
          </w:tcPr>
          <w:p w:rsidR="0040617B" w:rsidRPr="001C0B7E" w:rsidRDefault="0040617B">
            <w:pPr>
              <w:rPr>
                <w:rFonts w:cstheme="minorHAnsi"/>
              </w:rPr>
            </w:pPr>
          </w:p>
        </w:tc>
      </w:tr>
    </w:tbl>
    <w:p w:rsidR="006A2D9D" w:rsidRDefault="006A2D9D"/>
    <w:sectPr w:rsidR="006A2D9D" w:rsidSect="008125C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5CA" w:rsidRDefault="008125CA" w:rsidP="008125CA">
      <w:pPr>
        <w:spacing w:after="0" w:line="240" w:lineRule="auto"/>
      </w:pPr>
      <w:r>
        <w:separator/>
      </w:r>
    </w:p>
  </w:endnote>
  <w:endnote w:type="continuationSeparator" w:id="0">
    <w:p w:rsidR="008125CA" w:rsidRDefault="008125CA" w:rsidP="0081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5CA" w:rsidRDefault="008125CA" w:rsidP="008125CA">
      <w:pPr>
        <w:spacing w:after="0" w:line="240" w:lineRule="auto"/>
      </w:pPr>
      <w:r>
        <w:separator/>
      </w:r>
    </w:p>
  </w:footnote>
  <w:footnote w:type="continuationSeparator" w:id="0">
    <w:p w:rsidR="008125CA" w:rsidRDefault="008125CA" w:rsidP="0081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5CA" w:rsidRPr="0074629E" w:rsidRDefault="008125CA" w:rsidP="0074629E">
    <w:pPr>
      <w:pStyle w:val="NoSpacing"/>
      <w:rPr>
        <w:b/>
        <w:color w:val="2F5496" w:themeColor="accent1" w:themeShade="BF"/>
        <w:sz w:val="32"/>
        <w:szCs w:val="32"/>
      </w:rPr>
    </w:pPr>
    <w:r w:rsidRPr="0074629E">
      <w:rPr>
        <w:b/>
        <w:color w:val="2F5496" w:themeColor="accent1" w:themeShade="BF"/>
        <w:sz w:val="32"/>
        <w:szCs w:val="32"/>
      </w:rPr>
      <w:t>Grant Plan Overview 202</w:t>
    </w:r>
    <w:r w:rsidR="000C51BC">
      <w:rPr>
        <w:b/>
        <w:color w:val="2F5496" w:themeColor="accent1" w:themeShade="BF"/>
        <w:sz w:val="32"/>
        <w:szCs w:val="32"/>
      </w:rPr>
      <w:t>3</w:t>
    </w:r>
    <w:r w:rsidRPr="0074629E">
      <w:rPr>
        <w:b/>
        <w:color w:val="2F5496" w:themeColor="accent1" w:themeShade="BF"/>
        <w:sz w:val="32"/>
        <w:szCs w:val="32"/>
      </w:rPr>
      <w:t>-2</w:t>
    </w:r>
    <w:r w:rsidR="000C51BC">
      <w:rPr>
        <w:b/>
        <w:color w:val="2F5496" w:themeColor="accent1" w:themeShade="BF"/>
        <w:sz w:val="32"/>
        <w:szCs w:val="32"/>
      </w:rPr>
      <w:t>4</w:t>
    </w:r>
  </w:p>
  <w:p w:rsidR="0074629E" w:rsidRPr="0074629E" w:rsidRDefault="0074629E" w:rsidP="0074629E">
    <w:pPr>
      <w:pStyle w:val="NoSpacing"/>
      <w:rPr>
        <w:rFonts w:ascii="Arial" w:eastAsia="Times New Roman" w:hAnsi="Arial" w:cs="Arial"/>
        <w:color w:val="2F5496" w:themeColor="accent1" w:themeShade="BF"/>
        <w:sz w:val="18"/>
        <w:szCs w:val="18"/>
        <w:lang w:eastAsia="en-GB"/>
      </w:rPr>
    </w:pPr>
    <w:r w:rsidRPr="0074629E">
      <w:rPr>
        <w:rFonts w:ascii="Arial" w:eastAsia="Times New Roman" w:hAnsi="Arial" w:cs="Arial"/>
        <w:color w:val="2F5496" w:themeColor="accent1" w:themeShade="BF"/>
        <w:sz w:val="18"/>
        <w:szCs w:val="18"/>
        <w:lang w:eastAsia="en-GB"/>
      </w:rPr>
      <w:t>Since 2012 the Welsh Government have been providing additional funds for schools to tackle national priorities for education. The three national priorities are:</w:t>
    </w:r>
  </w:p>
  <w:p w:rsidR="0074629E" w:rsidRPr="0074629E" w:rsidRDefault="0074629E" w:rsidP="0074629E">
    <w:pPr>
      <w:pStyle w:val="NoSpacing"/>
      <w:numPr>
        <w:ilvl w:val="0"/>
        <w:numId w:val="4"/>
      </w:numPr>
      <w:rPr>
        <w:rFonts w:ascii="Arial" w:eastAsia="Times New Roman" w:hAnsi="Arial" w:cs="Arial"/>
        <w:color w:val="2F5496" w:themeColor="accent1" w:themeShade="BF"/>
        <w:sz w:val="18"/>
        <w:szCs w:val="18"/>
        <w:lang w:eastAsia="en-GB"/>
      </w:rPr>
    </w:pPr>
    <w:r w:rsidRPr="0074629E">
      <w:rPr>
        <w:rFonts w:ascii="Arial" w:eastAsia="Times New Roman" w:hAnsi="Arial" w:cs="Arial"/>
        <w:color w:val="2F5496" w:themeColor="accent1" w:themeShade="BF"/>
        <w:sz w:val="18"/>
        <w:szCs w:val="18"/>
        <w:lang w:eastAsia="en-GB"/>
      </w:rPr>
      <w:t>Reducing the impact of poverty of pupil attainment. - Raising standards in literacy. - Raising standards in numeracy.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13D5"/>
    <w:multiLevelType w:val="hybridMultilevel"/>
    <w:tmpl w:val="E7EC0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07ADA"/>
    <w:multiLevelType w:val="hybridMultilevel"/>
    <w:tmpl w:val="05AE62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E3C0F"/>
    <w:multiLevelType w:val="hybridMultilevel"/>
    <w:tmpl w:val="A5E4A4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B6F15"/>
    <w:multiLevelType w:val="hybridMultilevel"/>
    <w:tmpl w:val="D68083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6214C7"/>
    <w:multiLevelType w:val="hybridMultilevel"/>
    <w:tmpl w:val="880EF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03710"/>
    <w:multiLevelType w:val="hybridMultilevel"/>
    <w:tmpl w:val="2E12E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8104E"/>
    <w:multiLevelType w:val="hybridMultilevel"/>
    <w:tmpl w:val="544E9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E712E"/>
    <w:multiLevelType w:val="hybridMultilevel"/>
    <w:tmpl w:val="C4A47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E87A02"/>
    <w:multiLevelType w:val="hybridMultilevel"/>
    <w:tmpl w:val="BF2EE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91B23"/>
    <w:multiLevelType w:val="hybridMultilevel"/>
    <w:tmpl w:val="BF5240B0"/>
    <w:lvl w:ilvl="0" w:tplc="F072D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019D3"/>
    <w:multiLevelType w:val="multilevel"/>
    <w:tmpl w:val="F93C2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7958A0"/>
    <w:multiLevelType w:val="hybridMultilevel"/>
    <w:tmpl w:val="BF9C3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7F0FA7"/>
    <w:multiLevelType w:val="hybridMultilevel"/>
    <w:tmpl w:val="9670AE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CA"/>
    <w:rsid w:val="0008239B"/>
    <w:rsid w:val="000C51BC"/>
    <w:rsid w:val="001C0B7E"/>
    <w:rsid w:val="00261FD8"/>
    <w:rsid w:val="00391D27"/>
    <w:rsid w:val="0040617B"/>
    <w:rsid w:val="00576E20"/>
    <w:rsid w:val="006A2D9D"/>
    <w:rsid w:val="006E081E"/>
    <w:rsid w:val="006E4F44"/>
    <w:rsid w:val="0074629E"/>
    <w:rsid w:val="0074634A"/>
    <w:rsid w:val="007D4F01"/>
    <w:rsid w:val="008125CA"/>
    <w:rsid w:val="00975D03"/>
    <w:rsid w:val="009A4563"/>
    <w:rsid w:val="00A91287"/>
    <w:rsid w:val="00C247E1"/>
    <w:rsid w:val="00D41F25"/>
    <w:rsid w:val="00D66C66"/>
    <w:rsid w:val="00E645AB"/>
    <w:rsid w:val="00ED1F9C"/>
    <w:rsid w:val="00ED7BC4"/>
    <w:rsid w:val="00F4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A113"/>
  <w15:chartTrackingRefBased/>
  <w15:docId w15:val="{AD3B9759-144C-483F-AB9C-B495436C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5CA"/>
  </w:style>
  <w:style w:type="paragraph" w:styleId="Footer">
    <w:name w:val="footer"/>
    <w:basedOn w:val="Normal"/>
    <w:link w:val="FooterChar"/>
    <w:uiPriority w:val="99"/>
    <w:unhideWhenUsed/>
    <w:rsid w:val="00812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5CA"/>
  </w:style>
  <w:style w:type="paragraph" w:styleId="NoSpacing">
    <w:name w:val="No Spacing"/>
    <w:uiPriority w:val="1"/>
    <w:qFormat/>
    <w:rsid w:val="007462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1F9C"/>
    <w:pPr>
      <w:ind w:left="720"/>
      <w:contextualSpacing/>
    </w:pPr>
  </w:style>
  <w:style w:type="table" w:styleId="TableGrid">
    <w:name w:val="Table Grid"/>
    <w:basedOn w:val="TableNormal"/>
    <w:uiPriority w:val="39"/>
    <w:rsid w:val="006A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NSJO.JBeckett</dc:creator>
  <cp:keywords/>
  <dc:description/>
  <cp:lastModifiedBy>NSJO.TLynch</cp:lastModifiedBy>
  <cp:revision>4</cp:revision>
  <dcterms:created xsi:type="dcterms:W3CDTF">2023-10-03T12:50:00Z</dcterms:created>
  <dcterms:modified xsi:type="dcterms:W3CDTF">2023-11-28T11:08:00Z</dcterms:modified>
</cp:coreProperties>
</file>